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79FE" w14:textId="77777777" w:rsidR="000357EF" w:rsidRDefault="000357EF" w:rsidP="00086A1A">
      <w:pPr>
        <w:pStyle w:val="Textosinformato"/>
        <w:jc w:val="center"/>
        <w:rPr>
          <w:rFonts w:ascii="Arial" w:eastAsia="MS Mincho" w:hAnsi="Arial" w:cs="Arial"/>
          <w:b/>
          <w:bCs/>
          <w:sz w:val="34"/>
          <w:szCs w:val="34"/>
          <w:u w:val="single"/>
        </w:rPr>
      </w:pPr>
    </w:p>
    <w:p w14:paraId="5ABAB78D"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4820717E" w14:textId="77777777" w:rsidR="000357EF" w:rsidRDefault="000357EF" w:rsidP="00086A1A">
      <w:pPr>
        <w:pStyle w:val="Textosinformato"/>
        <w:jc w:val="center"/>
        <w:rPr>
          <w:rFonts w:ascii="Arial" w:eastAsia="MS Mincho" w:hAnsi="Arial" w:cs="Arial"/>
          <w:b/>
          <w:bCs/>
          <w:sz w:val="34"/>
          <w:szCs w:val="34"/>
          <w:u w:val="single"/>
        </w:rPr>
      </w:pPr>
    </w:p>
    <w:p w14:paraId="29FD50AF" w14:textId="77032BA1" w:rsidR="00BD1758" w:rsidRDefault="00593F5F"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CICLO DE JURISPRUDENCIA ACCIDENTE LABORAL</w:t>
      </w:r>
    </w:p>
    <w:p w14:paraId="1FAEC8D7" w14:textId="66D8B7E0" w:rsidR="00B512C5" w:rsidRDefault="00923B58" w:rsidP="00086A1A">
      <w:pPr>
        <w:pStyle w:val="Textosinformato"/>
        <w:jc w:val="center"/>
        <w:rPr>
          <w:rFonts w:ascii="Arial" w:hAnsi="Arial" w:cs="Arial"/>
          <w:b/>
          <w:bCs/>
          <w:color w:val="000000"/>
          <w:sz w:val="34"/>
          <w:szCs w:val="34"/>
          <w:u w:val="single"/>
        </w:rPr>
      </w:pPr>
      <w:r>
        <w:rPr>
          <w:rFonts w:ascii="Arial" w:eastAsia="MS Mincho" w:hAnsi="Arial" w:cs="Arial"/>
          <w:b/>
          <w:bCs/>
          <w:sz w:val="34"/>
          <w:szCs w:val="34"/>
          <w:u w:val="single"/>
        </w:rPr>
        <w:t xml:space="preserve"> </w:t>
      </w:r>
      <w:r w:rsidR="00783843">
        <w:rPr>
          <w:rFonts w:ascii="Arial" w:eastAsia="MS Mincho" w:hAnsi="Arial" w:cs="Arial"/>
          <w:b/>
          <w:bCs/>
          <w:sz w:val="34"/>
          <w:szCs w:val="34"/>
          <w:u w:val="single"/>
        </w:rPr>
        <w:t>JURISPRUDENCIA DEL ACCIDENTE LABORAL</w:t>
      </w:r>
      <w:r w:rsidR="000357EF">
        <w:rPr>
          <w:rFonts w:ascii="Arial" w:eastAsia="MS Mincho" w:hAnsi="Arial" w:cs="Arial"/>
          <w:b/>
          <w:bCs/>
          <w:sz w:val="34"/>
          <w:szCs w:val="34"/>
          <w:u w:val="single"/>
        </w:rPr>
        <w:t xml:space="preserve"> </w:t>
      </w:r>
    </w:p>
    <w:p w14:paraId="0F5BA053"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3"/>
          </w:tcPr>
          <w:p w14:paraId="409DBF46" w14:textId="5D7C015B" w:rsidR="007E37F7" w:rsidRPr="00387948" w:rsidRDefault="00593F5F"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2</w:t>
            </w:r>
            <w:r w:rsidR="00783843">
              <w:rPr>
                <w:rFonts w:asciiTheme="minorHAnsi" w:hAnsiTheme="minorHAnsi" w:cs="Arial"/>
                <w:sz w:val="20"/>
                <w:szCs w:val="20"/>
                <w:lang w:val="es-ES_tradnl"/>
              </w:rPr>
              <w:t>7</w:t>
            </w:r>
            <w:r w:rsidR="00D00DC5">
              <w:rPr>
                <w:rFonts w:asciiTheme="minorHAnsi" w:hAnsiTheme="minorHAnsi" w:cs="Arial"/>
                <w:sz w:val="20"/>
                <w:szCs w:val="20"/>
                <w:lang w:val="es-ES_tradnl"/>
              </w:rPr>
              <w:t xml:space="preserve"> de </w:t>
            </w:r>
            <w:r w:rsidR="00783843">
              <w:rPr>
                <w:rFonts w:asciiTheme="minorHAnsi" w:hAnsiTheme="minorHAnsi" w:cs="Arial"/>
                <w:sz w:val="20"/>
                <w:szCs w:val="20"/>
                <w:lang w:val="es-ES_tradnl"/>
              </w:rPr>
              <w:t>abril</w:t>
            </w:r>
            <w:r w:rsidR="00D00DC5">
              <w:rPr>
                <w:rFonts w:asciiTheme="minorHAnsi" w:hAnsiTheme="minorHAnsi" w:cs="Arial"/>
                <w:sz w:val="20"/>
                <w:szCs w:val="20"/>
                <w:lang w:val="es-ES_tradnl"/>
              </w:rPr>
              <w:t xml:space="preserve"> de 2023 (jueves)</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3"/>
          </w:tcPr>
          <w:p w14:paraId="0DB3701F" w14:textId="4E212803" w:rsidR="007E37F7" w:rsidRPr="00D90831" w:rsidRDefault="003B4BF6"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17</w:t>
            </w:r>
            <w:r w:rsidR="00853C8B">
              <w:rPr>
                <w:rFonts w:asciiTheme="minorHAnsi" w:hAnsiTheme="minorHAnsi" w:cs="Arial"/>
                <w:sz w:val="20"/>
                <w:szCs w:val="20"/>
                <w:lang w:val="es-ES_tradnl"/>
              </w:rPr>
              <w:t>:00h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3"/>
          </w:tcPr>
          <w:p w14:paraId="65F236F7" w14:textId="1EE99662" w:rsidR="00A44457" w:rsidRPr="00853C8B" w:rsidRDefault="003B4BF6" w:rsidP="00853C8B">
            <w:pPr>
              <w:pStyle w:val="Ttulo5"/>
              <w:keepNext/>
              <w:autoSpaceDE w:val="0"/>
              <w:autoSpaceDN w:val="0"/>
              <w:adjustRightInd w:val="0"/>
              <w:spacing w:before="0" w:after="0"/>
              <w:jc w:val="both"/>
              <w:rPr>
                <w:rFonts w:ascii="Calibri" w:hAnsi="Calibri" w:cs="Arial"/>
                <w:sz w:val="20"/>
                <w:szCs w:val="20"/>
                <w:lang w:val="es-ES_tradnl"/>
              </w:rPr>
            </w:pPr>
            <w:r>
              <w:rPr>
                <w:rFonts w:asciiTheme="minorHAnsi" w:hAnsiTheme="minorHAnsi" w:cs="Arial"/>
                <w:bCs w:val="0"/>
                <w:i w:val="0"/>
                <w:iCs w:val="0"/>
                <w:sz w:val="20"/>
                <w:szCs w:val="20"/>
                <w:lang w:val="es-ES_tradnl"/>
              </w:rPr>
              <w:t>D. José Luis Velázquez Sánchez</w:t>
            </w:r>
            <w:r w:rsidR="000E6B01">
              <w:rPr>
                <w:rFonts w:asciiTheme="minorHAnsi" w:hAnsiTheme="minorHAnsi" w:cs="Arial"/>
                <w:bCs w:val="0"/>
                <w:i w:val="0"/>
                <w:iCs w:val="0"/>
                <w:sz w:val="20"/>
                <w:szCs w:val="20"/>
                <w:lang w:val="es-ES_tradnl"/>
              </w:rPr>
              <w:t xml:space="preserve">, </w:t>
            </w:r>
            <w:r w:rsidRPr="003B4BF6">
              <w:rPr>
                <w:rFonts w:asciiTheme="minorHAnsi" w:hAnsiTheme="minorHAnsi" w:cs="Arial"/>
                <w:bCs w:val="0"/>
                <w:sz w:val="20"/>
                <w:szCs w:val="20"/>
                <w:lang w:val="es-ES_tradnl"/>
              </w:rPr>
              <w:t>Coordinador Nacional de la Asesoría Jurídica de Prestaciones de</w:t>
            </w:r>
            <w:r w:rsidR="00923B58" w:rsidRPr="003B4BF6">
              <w:rPr>
                <w:rFonts w:asciiTheme="minorHAnsi" w:hAnsiTheme="minorHAnsi" w:cs="Arial"/>
                <w:sz w:val="20"/>
                <w:szCs w:val="20"/>
                <w:lang w:val="es-ES_tradnl"/>
              </w:rPr>
              <w:t xml:space="preserve"> FREMAP</w:t>
            </w:r>
          </w:p>
        </w:tc>
      </w:tr>
      <w:tr w:rsidR="00923B58" w14:paraId="5F144698" w14:textId="77777777" w:rsidTr="008309CF">
        <w:tc>
          <w:tcPr>
            <w:tcW w:w="2410" w:type="dxa"/>
            <w:gridSpan w:val="2"/>
            <w:shd w:val="clear" w:color="auto" w:fill="F2F2F2" w:themeFill="background1" w:themeFillShade="F2"/>
          </w:tcPr>
          <w:p w14:paraId="22A06D04" w14:textId="18EBD47F" w:rsidR="00923B58" w:rsidRDefault="00923B58"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PARTICIPA</w:t>
            </w:r>
          </w:p>
        </w:tc>
        <w:tc>
          <w:tcPr>
            <w:tcW w:w="7938" w:type="dxa"/>
            <w:gridSpan w:val="3"/>
          </w:tcPr>
          <w:p w14:paraId="7F82FC41" w14:textId="3E92A584" w:rsidR="00923B58" w:rsidRPr="00853C8B" w:rsidRDefault="00923B58" w:rsidP="00853C8B">
            <w:pPr>
              <w:autoSpaceDE w:val="0"/>
              <w:autoSpaceDN w:val="0"/>
              <w:adjustRightInd w:val="0"/>
              <w:jc w:val="both"/>
              <w:rPr>
                <w:rFonts w:ascii="Calibri" w:hAnsi="Calibri" w:cs="Arial"/>
                <w:sz w:val="20"/>
                <w:szCs w:val="20"/>
                <w:lang w:val="es-ES_tradnl"/>
              </w:rPr>
            </w:pPr>
            <w:r>
              <w:rPr>
                <w:rFonts w:ascii="Calibri" w:hAnsi="Calibri" w:cs="Arial"/>
                <w:sz w:val="20"/>
                <w:szCs w:val="20"/>
                <w:lang w:val="es-ES_tradnl"/>
              </w:rPr>
              <w:t>MUTUA FREMAP. Colaboradora con la Seguridad Social nº 61</w:t>
            </w:r>
          </w:p>
        </w:tc>
      </w:tr>
      <w:tr w:rsidR="00C07B39" w14:paraId="05BF73B7" w14:textId="77777777" w:rsidTr="008309CF">
        <w:tc>
          <w:tcPr>
            <w:tcW w:w="2410" w:type="dxa"/>
            <w:gridSpan w:val="2"/>
            <w:shd w:val="clear" w:color="auto" w:fill="F2F2F2" w:themeFill="background1" w:themeFillShade="F2"/>
          </w:tcPr>
          <w:p w14:paraId="611FB635" w14:textId="77777777" w:rsidR="00C07B39" w:rsidRDefault="00853C8B"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OBJETIVO DE LA JORNADA</w:t>
            </w:r>
          </w:p>
        </w:tc>
        <w:tc>
          <w:tcPr>
            <w:tcW w:w="7938" w:type="dxa"/>
            <w:gridSpan w:val="3"/>
          </w:tcPr>
          <w:p w14:paraId="2F6C4CAB" w14:textId="77777777" w:rsidR="008E2041" w:rsidRPr="001D0CB0" w:rsidRDefault="008E2041" w:rsidP="008E2041">
            <w:pPr>
              <w:autoSpaceDE w:val="0"/>
              <w:autoSpaceDN w:val="0"/>
              <w:adjustRightInd w:val="0"/>
              <w:jc w:val="both"/>
              <w:rPr>
                <w:rFonts w:ascii="Calibri" w:hAnsi="Calibri" w:cs="Arial"/>
                <w:sz w:val="20"/>
                <w:szCs w:val="20"/>
                <w:lang w:val="es-ES_tradnl"/>
              </w:rPr>
            </w:pPr>
            <w:r w:rsidRPr="001D0CB0">
              <w:rPr>
                <w:rFonts w:ascii="Calibri" w:hAnsi="Calibri" w:cs="Arial"/>
                <w:sz w:val="20"/>
                <w:szCs w:val="20"/>
                <w:lang w:val="es-ES_tradnl"/>
              </w:rPr>
              <w:t>En este ciclo de jurisprudencia del accidente laboral se pretende tratar el concepto de accidente de trabajo desde una visión global. Está compuesto por dos jornadas.</w:t>
            </w:r>
          </w:p>
          <w:p w14:paraId="68C602A0" w14:textId="77777777" w:rsidR="008E2041" w:rsidRDefault="008E2041" w:rsidP="003B4BF6">
            <w:pPr>
              <w:pStyle w:val="Prrafodelista"/>
              <w:numPr>
                <w:ilvl w:val="0"/>
                <w:numId w:val="6"/>
              </w:numPr>
              <w:autoSpaceDE w:val="0"/>
              <w:autoSpaceDN w:val="0"/>
              <w:adjustRightInd w:val="0"/>
              <w:jc w:val="both"/>
              <w:rPr>
                <w:rFonts w:ascii="Calibri" w:hAnsi="Calibri" w:cs="Arial"/>
                <w:sz w:val="20"/>
                <w:szCs w:val="20"/>
                <w:lang w:val="es-ES_tradnl"/>
              </w:rPr>
            </w:pPr>
            <w:r w:rsidRPr="001D0CB0">
              <w:rPr>
                <w:rFonts w:ascii="Calibri" w:hAnsi="Calibri" w:cs="Arial"/>
                <w:sz w:val="20"/>
                <w:szCs w:val="20"/>
                <w:lang w:val="es-ES_tradnl"/>
              </w:rPr>
              <w:t>La primera sobre el Concepto del Accidente laboral</w:t>
            </w:r>
            <w:r>
              <w:rPr>
                <w:rFonts w:ascii="Calibri" w:hAnsi="Calibri" w:cs="Arial"/>
                <w:sz w:val="20"/>
                <w:szCs w:val="20"/>
                <w:lang w:val="es-ES_tradnl"/>
              </w:rPr>
              <w:t xml:space="preserve">, </w:t>
            </w:r>
            <w:r w:rsidRPr="001D0CB0">
              <w:rPr>
                <w:rFonts w:ascii="Calibri" w:hAnsi="Calibri" w:cs="Arial"/>
                <w:sz w:val="20"/>
                <w:szCs w:val="20"/>
                <w:lang w:val="es-ES_tradnl"/>
              </w:rPr>
              <w:t>en la que se tratará el propio concepto del accidente laboral</w:t>
            </w:r>
            <w:r>
              <w:rPr>
                <w:rFonts w:ascii="Calibri" w:hAnsi="Calibri" w:cs="Arial"/>
                <w:sz w:val="20"/>
                <w:szCs w:val="20"/>
                <w:lang w:val="es-ES_tradnl"/>
              </w:rPr>
              <w:t>,</w:t>
            </w:r>
            <w:r w:rsidRPr="001D0CB0">
              <w:rPr>
                <w:rFonts w:ascii="Calibri" w:hAnsi="Calibri" w:cs="Arial"/>
                <w:sz w:val="20"/>
                <w:szCs w:val="20"/>
                <w:lang w:val="es-ES_tradnl"/>
              </w:rPr>
              <w:t xml:space="preserve"> su casuística y normativa. </w:t>
            </w:r>
          </w:p>
          <w:p w14:paraId="7FCA0F72" w14:textId="51817F68" w:rsidR="005E2D5B" w:rsidRPr="003B4BF6" w:rsidRDefault="003B4BF6" w:rsidP="003B4BF6">
            <w:pPr>
              <w:pStyle w:val="Prrafodelista"/>
              <w:numPr>
                <w:ilvl w:val="0"/>
                <w:numId w:val="6"/>
              </w:numPr>
              <w:autoSpaceDE w:val="0"/>
              <w:autoSpaceDN w:val="0"/>
              <w:adjustRightInd w:val="0"/>
              <w:jc w:val="both"/>
              <w:rPr>
                <w:rFonts w:ascii="Calibri" w:hAnsi="Calibri" w:cs="Arial"/>
                <w:sz w:val="20"/>
                <w:szCs w:val="20"/>
                <w:lang w:val="es-ES_tradnl"/>
              </w:rPr>
            </w:pPr>
            <w:r w:rsidRPr="003B4BF6">
              <w:rPr>
                <w:rFonts w:ascii="Calibri" w:hAnsi="Calibri" w:cs="Arial"/>
                <w:sz w:val="20"/>
                <w:szCs w:val="20"/>
                <w:lang w:val="es-ES_tradnl"/>
              </w:rPr>
              <w:t>La segunda sobre la Jurisprudencia del Accidente laboral, en la que se desarrollará la doctrina del Tribunal Supremo y de los Tribunales Superiores de Justicia sobre los distintos supuestos contemplados en el artículo 156 de la LGSS.</w:t>
            </w:r>
          </w:p>
        </w:tc>
      </w:tr>
      <w:tr w:rsidR="00593F5F" w14:paraId="69F28C61" w14:textId="77777777" w:rsidTr="00101CA2">
        <w:tc>
          <w:tcPr>
            <w:tcW w:w="2410" w:type="dxa"/>
            <w:gridSpan w:val="2"/>
            <w:shd w:val="clear" w:color="auto" w:fill="F2F2F2" w:themeFill="background1" w:themeFillShade="F2"/>
          </w:tcPr>
          <w:p w14:paraId="3F82D9B8" w14:textId="0085E5E8" w:rsidR="00593F5F" w:rsidRDefault="00593F5F" w:rsidP="00593F5F">
            <w:pPr>
              <w:widowControl w:val="0"/>
              <w:jc w:val="center"/>
              <w:rPr>
                <w:rFonts w:asciiTheme="minorHAnsi" w:hAnsiTheme="minorHAnsi" w:cs="Arial"/>
                <w:b/>
                <w:sz w:val="20"/>
                <w:szCs w:val="20"/>
                <w:lang w:val="es-ES_tradnl"/>
              </w:rPr>
            </w:pPr>
            <w:r>
              <w:rPr>
                <w:rFonts w:asciiTheme="minorHAnsi" w:hAnsiTheme="minorHAnsi" w:cs="Arial"/>
                <w:b/>
                <w:sz w:val="20"/>
                <w:szCs w:val="20"/>
                <w:lang w:val="es-ES_tradnl"/>
              </w:rPr>
              <w:t>MODALIDAD DE ASISTENCIA</w:t>
            </w:r>
          </w:p>
          <w:p w14:paraId="2BD19966" w14:textId="22F6A6AA" w:rsidR="00593F5F" w:rsidRDefault="00593F5F" w:rsidP="00593F5F">
            <w:pPr>
              <w:widowControl w:val="0"/>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p w14:paraId="16380F70" w14:textId="6C060F38" w:rsidR="00593F5F" w:rsidRDefault="00593F5F" w:rsidP="00593F5F">
            <w:pPr>
              <w:widowControl w:val="0"/>
              <w:jc w:val="center"/>
              <w:rPr>
                <w:rFonts w:asciiTheme="minorHAnsi" w:hAnsiTheme="minorHAnsi" w:cs="Arial"/>
                <w:b/>
                <w:sz w:val="20"/>
                <w:szCs w:val="20"/>
                <w:lang w:val="es-ES_tradnl"/>
              </w:rPr>
            </w:pPr>
          </w:p>
        </w:tc>
        <w:tc>
          <w:tcPr>
            <w:tcW w:w="3969" w:type="dxa"/>
            <w:gridSpan w:val="2"/>
            <w:vAlign w:val="center"/>
          </w:tcPr>
          <w:p w14:paraId="2AED0087" w14:textId="1577D069" w:rsidR="00593F5F" w:rsidRPr="00FB5242" w:rsidRDefault="00593F5F" w:rsidP="00593F5F">
            <w:pPr>
              <w:autoSpaceDE w:val="0"/>
              <w:autoSpaceDN w:val="0"/>
              <w:adjustRightInd w:val="0"/>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6CFC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8pt" o:ole="">
                  <v:imagedata r:id="rId8" o:title=""/>
                </v:shape>
                <w:control r:id="rId9" w:name="DefaultOcxName2" w:shapeid="_x0000_i1090"/>
              </w:object>
            </w:r>
            <w:r>
              <w:rPr>
                <w:rFonts w:asciiTheme="minorHAnsi" w:hAnsiTheme="minorHAnsi"/>
                <w:bCs/>
                <w:color w:val="333333"/>
                <w:sz w:val="18"/>
                <w:szCs w:val="18"/>
                <w:lang w:val="es-ES_tradnl"/>
              </w:rPr>
              <w:t xml:space="preserve"> PRESENCIAL</w:t>
            </w:r>
          </w:p>
        </w:tc>
        <w:tc>
          <w:tcPr>
            <w:tcW w:w="3969" w:type="dxa"/>
            <w:vAlign w:val="center"/>
          </w:tcPr>
          <w:p w14:paraId="5B1FB1BD" w14:textId="0D48242F" w:rsidR="00593F5F" w:rsidRPr="00FB5242" w:rsidRDefault="00593F5F" w:rsidP="00593F5F">
            <w:pPr>
              <w:autoSpaceDE w:val="0"/>
              <w:autoSpaceDN w:val="0"/>
              <w:adjustRightInd w:val="0"/>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4A8B9AA5">
                <v:shape id="_x0000_i1055" type="#_x0000_t75" style="width:20.25pt;height:18pt" o:ole="">
                  <v:imagedata r:id="rId8" o:title=""/>
                </v:shape>
                <w:control r:id="rId10" w:name="DefaultOcxName21" w:shapeid="_x0000_i1055"/>
              </w:object>
            </w:r>
            <w:r>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5"/>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5"/>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5"/>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5"/>
          </w:tcPr>
          <w:p w14:paraId="01C0DD88" w14:textId="77FEB3AA"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N</w:t>
            </w:r>
            <w:r w:rsidR="00354CBF">
              <w:rPr>
                <w:rFonts w:asciiTheme="minorHAnsi" w:hAnsiTheme="minorHAnsi" w:cs="Arial"/>
                <w:sz w:val="20"/>
                <w:szCs w:val="20"/>
                <w:lang w:val="es-ES_tradnl"/>
              </w:rPr>
              <w:t>º</w:t>
            </w:r>
            <w:r>
              <w:rPr>
                <w:rFonts w:asciiTheme="minorHAnsi" w:hAnsiTheme="minorHAnsi" w:cs="Arial"/>
                <w:sz w:val="20"/>
                <w:szCs w:val="20"/>
                <w:lang w:val="es-ES_tradnl"/>
              </w:rPr>
              <w:t xml:space="preserve">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5"/>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5"/>
          </w:tcPr>
          <w:p w14:paraId="0F80671A" w14:textId="4D2843BD"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DB4258">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4D668AA8"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8" type="#_x0000_t75" style="width:20.25pt;height:18pt" o:ole="">
                  <v:imagedata r:id="rId8" o:title=""/>
                </v:shape>
                <w:control r:id="rId11"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74C6336D"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61" type="#_x0000_t75" style="width:20.25pt;height:18pt" o:ole="">
                  <v:imagedata r:id="rId8" o:title=""/>
                </v:shape>
                <w:control r:id="rId12"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7C4D6A39"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64" type="#_x0000_t75" style="width:20.25pt;height:18pt" o:ole="">
                  <v:imagedata r:id="rId8" o:title=""/>
                </v:shape>
                <w:control r:id="rId13"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64D9F852"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7" type="#_x0000_t75" style="width:20.25pt;height:18pt" o:ole="">
                  <v:imagedata r:id="rId8" o:title=""/>
                </v:shape>
                <w:control r:id="rId14"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6BD63683"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70" type="#_x0000_t75" style="width:20.25pt;height:18pt" o:ole="">
                  <v:imagedata r:id="rId8" o:title=""/>
                </v:shape>
                <w:control r:id="rId15"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bl>
    <w:p w14:paraId="4B70AEA5" w14:textId="7777777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6"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6A950A9C"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73" type="#_x0000_t75" style="width:20.25pt;height:18pt" o:ole="">
                  <v:imagedata r:id="rId8" o:title=""/>
                </v:shape>
                <w:control r:id="rId17"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392BD240"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6" type="#_x0000_t75" style="width:20.25pt;height:18pt" o:ole="">
                  <v:imagedata r:id="rId8" o:title=""/>
                </v:shape>
                <w:control r:id="rId18"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2182D2AF"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9" type="#_x0000_t75" style="width:20.25pt;height:18pt" o:ole="">
                  <v:imagedata r:id="rId8" o:title=""/>
                </v:shape>
                <w:control r:id="rId19"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295537C8"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82" type="#_x0000_t75" style="width:20.25pt;height:18pt" o:ole="">
                  <v:imagedata r:id="rId8" o:title=""/>
                </v:shape>
                <w:control r:id="rId20"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003FF3DC"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5" type="#_x0000_t75" style="width:20.25pt;height:18pt" o:ole="">
                  <v:imagedata r:id="rId8" o:title=""/>
                </v:shape>
                <w:control r:id="rId21"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2C04B958"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8" type="#_x0000_t75" style="width:20.25pt;height:18pt" o:ole="">
                  <v:imagedata r:id="rId8" o:title=""/>
                </v:shape>
                <w:control r:id="rId22"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3"/>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43190F4A" w:rsidR="000E6B01" w:rsidRDefault="00923B58">
    <w:pPr>
      <w:pStyle w:val="Encabezado"/>
    </w:pPr>
    <w:r>
      <w:rPr>
        <w:bCs/>
        <w:noProof/>
        <w:color w:val="404040"/>
        <w:sz w:val="20"/>
        <w:szCs w:val="20"/>
      </w:rPr>
      <w:drawing>
        <wp:anchor distT="0" distB="0" distL="114300" distR="114300" simplePos="0" relativeHeight="251661312" behindDoc="0" locked="0" layoutInCell="1" allowOverlap="1" wp14:anchorId="336C7508" wp14:editId="3FBB6B05">
          <wp:simplePos x="0" y="0"/>
          <wp:positionH relativeFrom="column">
            <wp:posOffset>4086225</wp:posOffset>
          </wp:positionH>
          <wp:positionV relativeFrom="paragraph">
            <wp:posOffset>-209550</wp:posOffset>
          </wp:positionV>
          <wp:extent cx="2341248" cy="12001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1248" cy="1200150"/>
                  </a:xfrm>
                  <a:prstGeom prst="rect">
                    <a:avLst/>
                  </a:prstGeom>
                  <a:noFill/>
                  <a:ln>
                    <a:noFill/>
                    <a:prstDash/>
                  </a:ln>
                </pic:spPr>
              </pic:pic>
            </a:graphicData>
          </a:graphic>
        </wp:anchor>
      </w:drawing>
    </w:r>
    <w:r w:rsidR="000E6B01" w:rsidRPr="005E2D5B">
      <w:rPr>
        <w:noProof/>
        <w:lang w:val="es-ES"/>
      </w:rPr>
      <w:drawing>
        <wp:anchor distT="0" distB="0" distL="114300" distR="114300" simplePos="0" relativeHeight="251659264" behindDoc="0" locked="0" layoutInCell="1" allowOverlap="1" wp14:anchorId="695BB523" wp14:editId="2EDF41BE">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C9F"/>
    <w:multiLevelType w:val="hybridMultilevel"/>
    <w:tmpl w:val="E4D2D766"/>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7C7265DC"/>
    <w:multiLevelType w:val="hybridMultilevel"/>
    <w:tmpl w:val="062AF480"/>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4257214">
    <w:abstractNumId w:val="2"/>
  </w:num>
  <w:num w:numId="2" w16cid:durableId="1636721248">
    <w:abstractNumId w:val="4"/>
  </w:num>
  <w:num w:numId="3" w16cid:durableId="767431416">
    <w:abstractNumId w:val="5"/>
  </w:num>
  <w:num w:numId="4" w16cid:durableId="2081445436">
    <w:abstractNumId w:val="3"/>
  </w:num>
  <w:num w:numId="5" w16cid:durableId="1959214145">
    <w:abstractNumId w:val="1"/>
  </w:num>
  <w:num w:numId="6" w16cid:durableId="1408111468">
    <w:abstractNumId w:val="0"/>
  </w:num>
  <w:num w:numId="7" w16cid:durableId="1190219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XIOLX+8gJ5MGPKM5/GkazzwVC4n0hTD/9Bq+/5zyU48vfWjFPDaAUEZAbm3XQzANLP8SWLA1zQw6AX5irgIOQ==" w:salt="Gci9dykBR6MBkxrziGwnnA=="/>
  <w:defaultTabStop w:val="708"/>
  <w:hyphenationZone w:val="425"/>
  <w:drawingGridHorizontalSpacing w:val="12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57EF"/>
    <w:rsid w:val="000368BC"/>
    <w:rsid w:val="00061F04"/>
    <w:rsid w:val="000838EB"/>
    <w:rsid w:val="00086A1A"/>
    <w:rsid w:val="00095237"/>
    <w:rsid w:val="00095F9D"/>
    <w:rsid w:val="000C254B"/>
    <w:rsid w:val="000E005F"/>
    <w:rsid w:val="000E645F"/>
    <w:rsid w:val="000E6B01"/>
    <w:rsid w:val="00116764"/>
    <w:rsid w:val="00121096"/>
    <w:rsid w:val="00131F83"/>
    <w:rsid w:val="001368E5"/>
    <w:rsid w:val="00147C9F"/>
    <w:rsid w:val="001648A9"/>
    <w:rsid w:val="00164A46"/>
    <w:rsid w:val="00183EB8"/>
    <w:rsid w:val="001A50C2"/>
    <w:rsid w:val="001B0818"/>
    <w:rsid w:val="001D1ABF"/>
    <w:rsid w:val="001F47CB"/>
    <w:rsid w:val="00212053"/>
    <w:rsid w:val="00223B68"/>
    <w:rsid w:val="00230427"/>
    <w:rsid w:val="0023076A"/>
    <w:rsid w:val="0023500D"/>
    <w:rsid w:val="00251682"/>
    <w:rsid w:val="00285B10"/>
    <w:rsid w:val="0028661E"/>
    <w:rsid w:val="002C1879"/>
    <w:rsid w:val="002E2C67"/>
    <w:rsid w:val="002E33C3"/>
    <w:rsid w:val="0031413B"/>
    <w:rsid w:val="0031709B"/>
    <w:rsid w:val="00322375"/>
    <w:rsid w:val="0032508E"/>
    <w:rsid w:val="00345568"/>
    <w:rsid w:val="00354CBF"/>
    <w:rsid w:val="00357043"/>
    <w:rsid w:val="003641E4"/>
    <w:rsid w:val="00373D73"/>
    <w:rsid w:val="00380331"/>
    <w:rsid w:val="003866B2"/>
    <w:rsid w:val="00387948"/>
    <w:rsid w:val="003B4BF6"/>
    <w:rsid w:val="003B50E2"/>
    <w:rsid w:val="003C0CF1"/>
    <w:rsid w:val="003C78F9"/>
    <w:rsid w:val="003D279A"/>
    <w:rsid w:val="003E47FC"/>
    <w:rsid w:val="003E529A"/>
    <w:rsid w:val="00414710"/>
    <w:rsid w:val="00432C1A"/>
    <w:rsid w:val="00440213"/>
    <w:rsid w:val="0044622E"/>
    <w:rsid w:val="00471525"/>
    <w:rsid w:val="004B7A9C"/>
    <w:rsid w:val="004E38B1"/>
    <w:rsid w:val="0058109A"/>
    <w:rsid w:val="005851CC"/>
    <w:rsid w:val="00593F5F"/>
    <w:rsid w:val="00597923"/>
    <w:rsid w:val="005E2D5B"/>
    <w:rsid w:val="005F12F9"/>
    <w:rsid w:val="0061741F"/>
    <w:rsid w:val="006202C1"/>
    <w:rsid w:val="00643B1F"/>
    <w:rsid w:val="00645459"/>
    <w:rsid w:val="006458A9"/>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83843"/>
    <w:rsid w:val="00796023"/>
    <w:rsid w:val="007A6648"/>
    <w:rsid w:val="007D1526"/>
    <w:rsid w:val="007E37F7"/>
    <w:rsid w:val="007F21C4"/>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E2041"/>
    <w:rsid w:val="008F067A"/>
    <w:rsid w:val="009172AE"/>
    <w:rsid w:val="00923B58"/>
    <w:rsid w:val="00974018"/>
    <w:rsid w:val="0098123D"/>
    <w:rsid w:val="0098396E"/>
    <w:rsid w:val="00987A11"/>
    <w:rsid w:val="00994FBE"/>
    <w:rsid w:val="009A0862"/>
    <w:rsid w:val="009F642A"/>
    <w:rsid w:val="00A06D77"/>
    <w:rsid w:val="00A10D33"/>
    <w:rsid w:val="00A304D8"/>
    <w:rsid w:val="00A423BC"/>
    <w:rsid w:val="00A44457"/>
    <w:rsid w:val="00A501C9"/>
    <w:rsid w:val="00A5108B"/>
    <w:rsid w:val="00A53C5E"/>
    <w:rsid w:val="00A55721"/>
    <w:rsid w:val="00A708EE"/>
    <w:rsid w:val="00A726D9"/>
    <w:rsid w:val="00AA546B"/>
    <w:rsid w:val="00AB57AF"/>
    <w:rsid w:val="00AB781B"/>
    <w:rsid w:val="00AC4FF0"/>
    <w:rsid w:val="00AF0D29"/>
    <w:rsid w:val="00AF3182"/>
    <w:rsid w:val="00B3428A"/>
    <w:rsid w:val="00B47B56"/>
    <w:rsid w:val="00B512C5"/>
    <w:rsid w:val="00B757F5"/>
    <w:rsid w:val="00B90862"/>
    <w:rsid w:val="00B949C8"/>
    <w:rsid w:val="00BB086D"/>
    <w:rsid w:val="00BD1758"/>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B4258"/>
    <w:rsid w:val="00DC632E"/>
    <w:rsid w:val="00DD6B35"/>
    <w:rsid w:val="00DE1BA1"/>
    <w:rsid w:val="00E03AA0"/>
    <w:rsid w:val="00E11142"/>
    <w:rsid w:val="00E22979"/>
    <w:rsid w:val="00E57193"/>
    <w:rsid w:val="00E57DB1"/>
    <w:rsid w:val="00E638A9"/>
    <w:rsid w:val="00E83FE4"/>
    <w:rsid w:val="00EF2E22"/>
    <w:rsid w:val="00F14242"/>
    <w:rsid w:val="00F17706"/>
    <w:rsid w:val="00F4765B"/>
    <w:rsid w:val="00F5570D"/>
    <w:rsid w:val="00F74508"/>
    <w:rsid w:val="00F935CC"/>
    <w:rsid w:val="00FB2E47"/>
    <w:rsid w:val="00FB3DED"/>
    <w:rsid w:val="00FB5242"/>
    <w:rsid w:val="00FD209C"/>
    <w:rsid w:val="00FE43F3"/>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iudadano@agpd.es" TargetMode="Externa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29</cp:revision>
  <cp:lastPrinted>2022-03-16T08:38:00Z</cp:lastPrinted>
  <dcterms:created xsi:type="dcterms:W3CDTF">2021-05-07T12:09:00Z</dcterms:created>
  <dcterms:modified xsi:type="dcterms:W3CDTF">2023-04-12T09:41:00Z</dcterms:modified>
</cp:coreProperties>
</file>